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360" w:lineRule="auto"/>
        <w:ind w:firstLine="566.9291338582675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САБПЭК. Технологическое присоединение</w:t>
      </w:r>
    </w:p>
    <w:p w:rsidR="00000000" w:rsidDel="00000000" w:rsidP="00000000" w:rsidRDefault="00000000" w:rsidRPr="00000000" w14:paraId="00000002">
      <w:pPr>
        <w:spacing w:after="240" w:before="240" w:line="360" w:lineRule="auto"/>
        <w:ind w:firstLine="566.9291338582675"/>
        <w:jc w:val="both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Функциональные возможности: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firstLine="566.9291338582675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Получение и отслеживания заявок/обращений заявителей (Физические лица (ФЛ), Юридические лица (ЮЛ), Индивидуальные предприниматели (ИП)). Вся информация хранится в одной Системе и доступна в оперативном режиме всем участниками процесса, что позволит производить просмотр всех необходимых мероприятий.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firstLine="566.9291338582675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Гибкая система разграничения прав доступа к информации в рамках функциональных обязанностей;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firstLine="566.9291338582675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Многоуровневая система инцидентов для оповещения ответственных лиц о завершение определенного этапа при работе с технологическим присоединением;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firstLine="566.9291338582675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Формирование и подготовка договоров на технологическое присоединение, а также контроль процессов, предшествующих заключению договора;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0" w:beforeAutospacing="0" w:line="360" w:lineRule="auto"/>
        <w:ind w:firstLine="566.9291338582675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Формирование аналитической и сводной отчетности в части технологического присоединения;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0" w:beforeAutospacing="0" w:line="360" w:lineRule="auto"/>
        <w:ind w:firstLine="566.9291338582675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Контроль процессов, предшествующих получению технических условий;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0" w:beforeAutospacing="0" w:line="360" w:lineRule="auto"/>
        <w:ind w:firstLine="566.9291338582675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Интеграция с внешними системами (1С Бухгалтерия, личный кабинет заявителя, СЭД)</w:t>
      </w:r>
      <w:r w:rsidDel="00000000" w:rsidR="00000000" w:rsidRPr="00000000">
        <w:rPr>
          <w:sz w:val="24"/>
          <w:szCs w:val="24"/>
          <w:rtl w:val="0"/>
        </w:rPr>
        <w:t xml:space="preserve">;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firstLine="566.9291338582675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Контроль и учет за материалами для ОМТС</w:t>
      </w:r>
      <w:r w:rsidDel="00000000" w:rsidR="00000000" w:rsidRPr="00000000">
        <w:rPr>
          <w:sz w:val="24"/>
          <w:szCs w:val="24"/>
          <w:rtl w:val="0"/>
        </w:rPr>
        <w:t xml:space="preserve">;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="360" w:lineRule="auto"/>
        <w:ind w:firstLine="566.9291338582675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Автоматизация ведения проектов на технологическое присоединение</w:t>
      </w:r>
      <w:r w:rsidDel="00000000" w:rsidR="00000000" w:rsidRPr="00000000">
        <w:rPr>
          <w:sz w:val="24"/>
          <w:szCs w:val="24"/>
          <w:rtl w:val="0"/>
        </w:rPr>
        <w:t xml:space="preserve">;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0" w:beforeAutospacing="0" w:line="360" w:lineRule="auto"/>
        <w:ind w:firstLine="566.9291338582675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Автоматизация процесса формирования актов разграничения балансовой принадлежности</w:t>
      </w:r>
      <w:r w:rsidDel="00000000" w:rsidR="00000000" w:rsidRPr="00000000">
        <w:rPr>
          <w:sz w:val="24"/>
          <w:szCs w:val="24"/>
          <w:rtl w:val="0"/>
        </w:rPr>
        <w:t xml:space="preserve">;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0" w:beforeAutospacing="0" w:line="360" w:lineRule="auto"/>
        <w:ind w:firstLine="566.9291338582675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Контроль и взаимодействие с Ростехнадзором</w:t>
      </w:r>
      <w:r w:rsidDel="00000000" w:rsidR="00000000" w:rsidRPr="00000000">
        <w:rPr>
          <w:sz w:val="24"/>
          <w:szCs w:val="24"/>
          <w:rtl w:val="0"/>
        </w:rPr>
        <w:t xml:space="preserve">;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0" w:beforeAutospacing="0" w:line="360" w:lineRule="auto"/>
        <w:ind w:firstLine="566.9291338582675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Автоматизация процесса согласования актов </w:t>
      </w:r>
      <w:r w:rsidDel="00000000" w:rsidR="00000000" w:rsidRPr="00000000">
        <w:rPr>
          <w:sz w:val="24"/>
          <w:szCs w:val="24"/>
          <w:rtl w:val="0"/>
        </w:rPr>
        <w:t xml:space="preserve">технологического присоединения, технических условий, актов разграничения балансовой принадлежности;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hd w:fill="ffffff" w:val="clear"/>
        <w:spacing w:after="0" w:afterAutospacing="0" w:before="0" w:beforeAutospacing="0" w:line="360" w:lineRule="auto"/>
        <w:ind w:firstLine="566.9291338582675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Настройка процесса оповещений (СМС, Email) заявителей для контроля сроков выполнения обязательств сетевой компании перед заявителем (размещение условий типового договора об осуществлении технологического присоединения к электрическим сетям, выставление счета на оплату технологического присоединения по договор и т.д.);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0" w:beforeAutospacing="0" w:line="360" w:lineRule="auto"/>
        <w:ind w:firstLine="566.9291338582675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Интеграция с Web-псервисом «Личный  кабинет заявителя» для регистрации нового технологического присоединения</w:t>
      </w:r>
      <w:r w:rsidDel="00000000" w:rsidR="00000000" w:rsidRPr="00000000">
        <w:rPr>
          <w:sz w:val="24"/>
          <w:szCs w:val="24"/>
          <w:rtl w:val="0"/>
        </w:rPr>
        <w:t xml:space="preserve">;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240" w:before="0" w:beforeAutospacing="0" w:line="360" w:lineRule="auto"/>
        <w:ind w:firstLine="566.9291338582675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Автоматизация информационного обмена с сервисами внешних компаний (пакет документов, подписанный ЭЦП, в автоматическом режиме направляется на согласованный сервис) для уменьшения трудозатрат на формирование пакета документов для гарантирующих поставщиков</w:t>
      </w:r>
      <w:r w:rsidDel="00000000" w:rsidR="00000000" w:rsidRPr="00000000">
        <w:rPr>
          <w:sz w:val="24"/>
          <w:szCs w:val="24"/>
          <w:rtl w:val="0"/>
        </w:rPr>
        <w:t xml:space="preserve">;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hd w:fill="ffffff" w:val="clear"/>
        <w:spacing w:after="200" w:before="280" w:line="360" w:lineRule="auto"/>
        <w:rPr>
          <w:color w:val="000000"/>
          <w:sz w:val="27"/>
          <w:szCs w:val="27"/>
        </w:rPr>
      </w:pPr>
      <w:bookmarkStart w:colFirst="0" w:colLast="0" w:name="_3pop9ibkd2fc" w:id="0"/>
      <w:bookmarkEnd w:id="0"/>
      <w:r w:rsidDel="00000000" w:rsidR="00000000" w:rsidRPr="00000000">
        <w:rPr>
          <w:color w:val="000000"/>
          <w:sz w:val="24"/>
          <w:szCs w:val="24"/>
          <w:highlight w:val="white"/>
          <w:rtl w:val="0"/>
        </w:rPr>
        <w:t xml:space="preserve">Использование электронно-цифровой подписи, что позволяет обмениваться документами по технологическому присоединению как внутри предприятия, так и с заявителями.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color w:val="000000"/>
          <w:sz w:val="24"/>
          <w:szCs w:val="24"/>
          <w:highlight w:val="white"/>
          <w:rtl w:val="0"/>
        </w:rPr>
        <w:t xml:space="preserve">Для снижения трудозатрат на ведение бумажного документа и вероятности утери документации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;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hd w:fill="ffffff" w:val="clear"/>
        <w:spacing w:after="200" w:before="280" w:line="360" w:lineRule="auto"/>
        <w:rPr>
          <w:color w:val="000000"/>
          <w:sz w:val="27"/>
          <w:szCs w:val="27"/>
        </w:rPr>
      </w:pPr>
      <w:bookmarkStart w:colFirst="0" w:colLast="0" w:name="_e2n9hwgk7y3b" w:id="1"/>
      <w:bookmarkEnd w:id="1"/>
      <w:r w:rsidDel="00000000" w:rsidR="00000000" w:rsidRPr="00000000">
        <w:rPr>
          <w:color w:val="000000"/>
          <w:sz w:val="27"/>
          <w:szCs w:val="27"/>
          <w:rtl w:val="0"/>
        </w:rPr>
        <w:t xml:space="preserve">Ожидаемый экономический эффект: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hd w:fill="ffffff" w:val="clear"/>
        <w:spacing w:after="200" w:line="428.625" w:lineRule="auto"/>
        <w:rPr>
          <w:color w:val="000000"/>
        </w:rPr>
      </w:pPr>
      <w:bookmarkStart w:colFirst="0" w:colLast="0" w:name="_xtq8bcci2938" w:id="2"/>
      <w:bookmarkEnd w:id="2"/>
      <w:r w:rsidDel="00000000" w:rsidR="00000000" w:rsidRPr="00000000">
        <w:rPr>
          <w:color w:val="000000"/>
          <w:rtl w:val="0"/>
        </w:rPr>
        <w:t xml:space="preserve">1. Прямое увеличение выручки и сокращение штрафных рисков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hd w:fill="ffffff" w:val="clear"/>
        <w:spacing w:after="0" w:afterAutospacing="0" w:before="20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sz w:val="24"/>
          <w:szCs w:val="24"/>
          <w:rtl w:val="0"/>
        </w:rPr>
        <w:t xml:space="preserve">Ускорение обработки заявок и увеличение пропускной способности: За счет автоматизации рутинных операций отдел ТП сможет обрабатывать больше заявок в единицу времени без увеличения штата.</w:t>
      </w:r>
    </w:p>
    <w:p w:rsidR="00000000" w:rsidDel="00000000" w:rsidP="00000000" w:rsidRDefault="00000000" w:rsidRPr="00000000" w14:paraId="00000016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color w:val="000000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Как считать: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sz w:val="21"/>
          <w:szCs w:val="21"/>
          <w:highlight w:val="yellow"/>
          <w:rtl w:val="0"/>
        </w:rPr>
        <w:t xml:space="preserve">(Количество дополнительно обработанных заявок в год) × (Средний доход с одной заявки)</w:t>
      </w:r>
      <w:r w:rsidDel="00000000" w:rsidR="00000000" w:rsidRPr="00000000">
        <w:rPr>
          <w:sz w:val="24"/>
          <w:szCs w:val="24"/>
          <w:highlight w:val="yellow"/>
          <w:rtl w:val="0"/>
        </w:rPr>
        <w:t xml:space="preserve">.</w:t>
      </w:r>
      <w:r w:rsidDel="00000000" w:rsidR="00000000" w:rsidRPr="00000000">
        <w:rPr>
          <w:sz w:val="24"/>
          <w:szCs w:val="24"/>
          <w:rtl w:val="0"/>
        </w:rPr>
        <w:t xml:space="preserve"> Эффект может составлять 5-15% прироста к общему объему выручки по услугам ТП.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sz w:val="24"/>
          <w:szCs w:val="24"/>
          <w:rtl w:val="0"/>
        </w:rPr>
        <w:t xml:space="preserve">Снижение рисков штрафов и пеней: За срыв законодательно установленных сроков ТП компания несет финансовую ответственность.</w:t>
      </w:r>
    </w:p>
    <w:p w:rsidR="00000000" w:rsidDel="00000000" w:rsidP="00000000" w:rsidRDefault="00000000" w:rsidRPr="00000000" w14:paraId="00000018">
      <w:pPr>
        <w:numPr>
          <w:ilvl w:val="1"/>
          <w:numId w:val="3"/>
        </w:numPr>
        <w:spacing w:after="200" w:before="0" w:beforeAutospacing="0" w:lineRule="auto"/>
        <w:ind w:left="1440" w:hanging="360"/>
        <w:rPr>
          <w:color w:val="000000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Как считать: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sz w:val="21"/>
          <w:szCs w:val="21"/>
          <w:highlight w:val="yellow"/>
          <w:rtl w:val="0"/>
        </w:rPr>
        <w:t xml:space="preserve">(Количество заявок в год) × (Снижение вероятности срыва сроков, %) × (Средний размер штрафных санкций за одну заявку)</w:t>
      </w:r>
      <w:r w:rsidDel="00000000" w:rsidR="00000000" w:rsidRPr="00000000">
        <w:rPr>
          <w:sz w:val="24"/>
          <w:szCs w:val="24"/>
          <w:highlight w:val="yellow"/>
          <w:rtl w:val="0"/>
        </w:rPr>
        <w:t xml:space="preserve">.</w:t>
      </w:r>
      <w:r w:rsidDel="00000000" w:rsidR="00000000" w:rsidRPr="00000000">
        <w:rPr>
          <w:sz w:val="24"/>
          <w:szCs w:val="24"/>
          <w:rtl w:val="0"/>
        </w:rPr>
        <w:t xml:space="preserve"> Позволяет практически полностью избежать штрафов за просрочки по вине компании.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hd w:fill="ffffff" w:val="clear"/>
        <w:spacing w:after="200" w:line="428.625" w:lineRule="auto"/>
        <w:rPr>
          <w:color w:val="000000"/>
        </w:rPr>
      </w:pPr>
      <w:bookmarkStart w:colFirst="0" w:colLast="0" w:name="_p4e8ty3tno13" w:id="3"/>
      <w:bookmarkEnd w:id="3"/>
      <w:r w:rsidDel="00000000" w:rsidR="00000000" w:rsidRPr="00000000">
        <w:rPr>
          <w:color w:val="000000"/>
          <w:rtl w:val="0"/>
        </w:rPr>
        <w:t xml:space="preserve">2. Снижение операционных затрат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hd w:fill="ffffff" w:val="clear"/>
        <w:spacing w:after="0" w:afterAutospacing="0" w:before="20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sz w:val="24"/>
          <w:szCs w:val="24"/>
          <w:rtl w:val="0"/>
        </w:rPr>
        <w:t xml:space="preserve">Повышение производительности труда сотрудников: Высвобождение времени от ручного ввода данных, согласований и подготовки отчетов.</w:t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sz w:val="24"/>
          <w:szCs w:val="24"/>
          <w:rtl w:val="0"/>
        </w:rPr>
        <w:t xml:space="preserve">Снижение трудозатрат на выполнение операций</w:t>
      </w:r>
      <w:r w:rsidDel="00000000" w:rsidR="00000000" w:rsidRPr="00000000">
        <w:rPr>
          <w:i w:val="1"/>
          <w:sz w:val="24"/>
          <w:szCs w:val="24"/>
          <w:rtl w:val="0"/>
        </w:rPr>
        <w:t xml:space="preserve">.</w:t>
      </w:r>
      <w:r w:rsidDel="00000000" w:rsidR="00000000" w:rsidRPr="00000000">
        <w:rPr>
          <w:sz w:val="24"/>
          <w:szCs w:val="24"/>
          <w:rtl w:val="0"/>
        </w:rPr>
        <w:t xml:space="preserve"> Высвобожденное время можно направить на работу с более сложными заявками или избежать затрат на расширение штата при росте нагрузки. Рост производительности на 20-30%.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sz w:val="24"/>
          <w:szCs w:val="24"/>
          <w:rtl w:val="0"/>
        </w:rPr>
        <w:t xml:space="preserve">Сокращение непроизводительных затрат: Минимизация ошибок, исправление которых требует дополнительного времени юристов, технических специалистов и менеджеров.</w:t>
      </w:r>
    </w:p>
    <w:p w:rsidR="00000000" w:rsidDel="00000000" w:rsidP="00000000" w:rsidRDefault="00000000" w:rsidRPr="00000000" w14:paraId="0000001D">
      <w:pPr>
        <w:numPr>
          <w:ilvl w:val="1"/>
          <w:numId w:val="1"/>
        </w:numPr>
        <w:spacing w:after="200" w:before="0" w:beforeAutospacing="0" w:lineRule="auto"/>
        <w:ind w:left="144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Эффект:</w:t>
      </w:r>
      <w:r w:rsidDel="00000000" w:rsidR="00000000" w:rsidRPr="00000000">
        <w:rPr>
          <w:sz w:val="24"/>
          <w:szCs w:val="24"/>
          <w:rtl w:val="0"/>
        </w:rPr>
        <w:t xml:space="preserve"> Снижение количества рекламаций и доработок документов.</w:t>
      </w:r>
    </w:p>
    <w:p w:rsidR="00000000" w:rsidDel="00000000" w:rsidP="00000000" w:rsidRDefault="00000000" w:rsidRPr="00000000" w14:paraId="0000001E">
      <w:pPr>
        <w:pStyle w:val="Heading4"/>
        <w:keepNext w:val="0"/>
        <w:keepLines w:val="0"/>
        <w:shd w:fill="ffffff" w:val="clear"/>
        <w:spacing w:after="200" w:line="428.625" w:lineRule="auto"/>
        <w:rPr>
          <w:color w:val="000000"/>
        </w:rPr>
      </w:pPr>
      <w:bookmarkStart w:colFirst="0" w:colLast="0" w:name="_f8jkhj89agtu" w:id="4"/>
      <w:bookmarkEnd w:id="4"/>
      <w:r w:rsidDel="00000000" w:rsidR="00000000" w:rsidRPr="00000000">
        <w:rPr>
          <w:color w:val="000000"/>
          <w:rtl w:val="0"/>
        </w:rPr>
        <w:t xml:space="preserve">3. Качественные и стратегические эффекты (с прямым финансовым impact)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hd w:fill="ffffff" w:val="clear"/>
        <w:spacing w:after="0" w:afterAutospacing="0" w:before="20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sz w:val="24"/>
          <w:szCs w:val="24"/>
          <w:rtl w:val="0"/>
        </w:rPr>
        <w:t xml:space="preserve">Повышение лояльности клиентов и деловой репутации: Прозрачность и скорость процесса ТП — ключевой фактор для потребителей, особенно для крупного бизнеса.</w:t>
      </w:r>
    </w:p>
    <w:p w:rsidR="00000000" w:rsidDel="00000000" w:rsidP="00000000" w:rsidRDefault="00000000" w:rsidRPr="00000000" w14:paraId="00000020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Финансовый эквивалент:</w:t>
      </w:r>
      <w:r w:rsidDel="00000000" w:rsidR="00000000" w:rsidRPr="00000000">
        <w:rPr>
          <w:sz w:val="24"/>
          <w:szCs w:val="24"/>
          <w:rtl w:val="0"/>
        </w:rPr>
        <w:t xml:space="preserve"> Снижение оттока клиентов, привлечение крупных инвесторов в регион за счет положительного опыта подключения к инфраструктуре. Улучшение имиджа компании перед регуляторами.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highlight w:val="yellow"/>
        </w:rPr>
      </w:pPr>
      <w:r w:rsidDel="00000000" w:rsidR="00000000" w:rsidRPr="00000000">
        <w:rPr>
          <w:sz w:val="24"/>
          <w:szCs w:val="24"/>
          <w:highlight w:val="yellow"/>
          <w:rtl w:val="0"/>
        </w:rPr>
        <w:t xml:space="preserve">Обоснование тарифной политики: Прозрачные и оцифрованные процессы позволяют компании обоснованно доказывать регулятору свои затраты на выполнение заявок ТП.</w:t>
      </w:r>
    </w:p>
    <w:p w:rsidR="00000000" w:rsidDel="00000000" w:rsidP="00000000" w:rsidRDefault="00000000" w:rsidRPr="00000000" w14:paraId="00000022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highlight w:val="yellow"/>
        </w:rPr>
      </w:pPr>
      <w:r w:rsidDel="00000000" w:rsidR="00000000" w:rsidRPr="00000000">
        <w:rPr>
          <w:i w:val="1"/>
          <w:sz w:val="24"/>
          <w:szCs w:val="24"/>
          <w:highlight w:val="yellow"/>
          <w:rtl w:val="0"/>
        </w:rPr>
        <w:t xml:space="preserve">Эффект:</w:t>
      </w:r>
      <w:r w:rsidDel="00000000" w:rsidR="00000000" w:rsidRPr="00000000">
        <w:rPr>
          <w:sz w:val="24"/>
          <w:szCs w:val="24"/>
          <w:highlight w:val="yellow"/>
          <w:rtl w:val="0"/>
        </w:rPr>
        <w:t xml:space="preserve"> Данные системы служат доказательной базой для подтверждения обоснованности затрат в тарифах на технологическое присоединение.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sz w:val="24"/>
          <w:szCs w:val="24"/>
          <w:rtl w:val="0"/>
        </w:rPr>
        <w:t xml:space="preserve">Улучшение управляемости и прогнозирования процесса:</w:t>
      </w:r>
    </w:p>
    <w:p w:rsidR="00000000" w:rsidDel="00000000" w:rsidP="00000000" w:rsidRDefault="00000000" w:rsidRPr="00000000" w14:paraId="00000024">
      <w:pPr>
        <w:numPr>
          <w:ilvl w:val="1"/>
          <w:numId w:val="2"/>
        </w:numPr>
        <w:spacing w:after="200" w:before="0" w:beforeAutospacing="0" w:lineRule="auto"/>
        <w:ind w:left="144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Эффект:</w:t>
      </w:r>
      <w:r w:rsidDel="00000000" w:rsidR="00000000" w:rsidRPr="00000000">
        <w:rPr>
          <w:sz w:val="24"/>
          <w:szCs w:val="24"/>
          <w:rtl w:val="0"/>
        </w:rPr>
        <w:t xml:space="preserve"> Руководство получает инструмент для анализа "узких мест" и принятия решений по оптимизации бизнес-процессов, распределения ресурсов и планирования нагрузки на подразделения.</w:t>
      </w:r>
    </w:p>
    <w:p w:rsidR="00000000" w:rsidDel="00000000" w:rsidP="00000000" w:rsidRDefault="00000000" w:rsidRPr="00000000" w14:paraId="00000025">
      <w:pPr>
        <w:shd w:fill="ffffff" w:val="clear"/>
        <w:spacing w:before="200" w:line="428.625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404040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Roboto" w:cs="Roboto" w:eastAsia="Roboto" w:hAnsi="Roboto"/>
        <w:color w:val="404040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404040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Roboto" w:cs="Roboto" w:eastAsia="Roboto" w:hAnsi="Roboto"/>
        <w:color w:val="404040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404040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Roboto" w:cs="Roboto" w:eastAsia="Roboto" w:hAnsi="Roboto"/>
        <w:color w:val="404040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